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6D" w:rsidRDefault="00B42C6D" w:rsidP="00B42C6D">
      <w:pPr>
        <w:jc w:val="both"/>
        <w:rPr>
          <w:b/>
          <w:bCs/>
          <w:sz w:val="15"/>
          <w:szCs w:val="15"/>
        </w:rPr>
      </w:pPr>
      <w:r>
        <w:t>Or</w:t>
      </w:r>
      <w:r>
        <w:rPr>
          <w:b/>
          <w:bCs/>
          <w:sz w:val="15"/>
          <w:szCs w:val="15"/>
        </w:rPr>
        <w:t>denanza fiscal núme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 xml:space="preserve">o </w:t>
      </w:r>
      <w:bookmarkStart w:id="0" w:name="_GoBack"/>
      <w:r>
        <w:rPr>
          <w:b/>
          <w:bCs/>
        </w:rPr>
        <w:t xml:space="preserve">9 </w:t>
      </w:r>
      <w:r>
        <w:t>r</w:t>
      </w:r>
      <w:r>
        <w:rPr>
          <w:b/>
          <w:bCs/>
          <w:sz w:val="15"/>
          <w:szCs w:val="15"/>
        </w:rPr>
        <w:t>egulado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 xml:space="preserve">a de la tasa </w:t>
      </w:r>
      <w:proofErr w:type="spellStart"/>
      <w:r>
        <w:rPr>
          <w:b/>
          <w:bCs/>
          <w:sz w:val="15"/>
          <w:szCs w:val="15"/>
        </w:rPr>
        <w:t>po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>la</w:t>
      </w:r>
      <w:proofErr w:type="spellEnd"/>
      <w:r>
        <w:rPr>
          <w:b/>
          <w:bCs/>
          <w:sz w:val="15"/>
          <w:szCs w:val="15"/>
        </w:rPr>
        <w:t xml:space="preserve"> p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 xml:space="preserve">estación del </w:t>
      </w:r>
      <w:proofErr w:type="spellStart"/>
      <w:r>
        <w:rPr>
          <w:b/>
          <w:bCs/>
          <w:sz w:val="15"/>
          <w:szCs w:val="15"/>
        </w:rPr>
        <w:t>se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>viciode</w:t>
      </w:r>
      <w:proofErr w:type="spellEnd"/>
      <w:r>
        <w:rPr>
          <w:b/>
          <w:bCs/>
          <w:sz w:val="15"/>
          <w:szCs w:val="15"/>
        </w:rPr>
        <w:t xml:space="preserve"> </w:t>
      </w:r>
      <w:r>
        <w:rPr>
          <w:sz w:val="15"/>
          <w:szCs w:val="15"/>
        </w:rPr>
        <w:t>C</w:t>
      </w:r>
      <w:r>
        <w:rPr>
          <w:b/>
          <w:bCs/>
          <w:sz w:val="15"/>
          <w:szCs w:val="15"/>
        </w:rPr>
        <w:t>emente</w:t>
      </w:r>
      <w:r>
        <w:rPr>
          <w:sz w:val="15"/>
          <w:szCs w:val="15"/>
        </w:rPr>
        <w:t>r</w:t>
      </w:r>
      <w:r>
        <w:rPr>
          <w:b/>
          <w:bCs/>
          <w:sz w:val="15"/>
          <w:szCs w:val="15"/>
        </w:rPr>
        <w:t>io municipal</w:t>
      </w:r>
    </w:p>
    <w:bookmarkEnd w:id="0"/>
    <w:p w:rsidR="00231F2A" w:rsidRDefault="00B42C6D" w:rsidP="00B42C6D">
      <w:pPr>
        <w:jc w:val="both"/>
      </w:pPr>
      <w:r>
        <w:t xml:space="preserve">Artículo 1. Fundamento y </w:t>
      </w:r>
      <w:proofErr w:type="spellStart"/>
      <w:r>
        <w:t>naturalezaEn</w:t>
      </w:r>
      <w:proofErr w:type="spellEnd"/>
      <w:r>
        <w:t xml:space="preserve"> uso de las facultades concedidas por el artículo 133.2 de la Constitución y por el artículo 106 de la Ley 7 de 1985, de 2 de abril, reguladora de las bases del Régimen Local, y de conformidad con lo dispuesto en los artículos 15 a 20 de la Ley 39/1988, de 28 de diciembre, modificada por Ley 51/2002, de 27 de diciembre, reguladora de las Haciendas Locales, este Ayuntamiento establece la “tasa por la prestación del servicio de Cementerio municipal”, cuyas normas atienden a lo prevenido en el artículo 58 y Sección 3.ª de la citada Ley 39/1988 y a lo dispuesto en la presente </w:t>
      </w:r>
      <w:proofErr w:type="spellStart"/>
      <w:r>
        <w:t>Ordenanza.Artículo</w:t>
      </w:r>
      <w:proofErr w:type="spellEnd"/>
      <w:r>
        <w:t xml:space="preserve"> 2. Hecho </w:t>
      </w:r>
      <w:proofErr w:type="spellStart"/>
      <w:r>
        <w:t>imponibleConstituye</w:t>
      </w:r>
      <w:proofErr w:type="spellEnd"/>
      <w:r>
        <w:t xml:space="preserve"> el hecho imponible de la tasa la prestación de los servicios en el Cementerio municipal, tales como: Asignación de espacios para enterramientos, construcción de panteones o sepulturas, ocupación de los mismos, reducción, incineración, colocación o remoción de lápidas, verjas, adornos, exhumaciones, traslados, conservación de espacios destinados a los difuntos y en general, cualesquiera otros que, de acuerdo con la le-</w:t>
      </w:r>
      <w:proofErr w:type="spellStart"/>
      <w:r>
        <w:t>gislación</w:t>
      </w:r>
      <w:proofErr w:type="spellEnd"/>
      <w:r>
        <w:t xml:space="preserve"> vigente sobre Policía Mortuoria, sean procedentes o se autoricen a instancia de parte y en todo caso, guarden relación con la concesión de espacios públicos en el Cementerio </w:t>
      </w:r>
      <w:proofErr w:type="spellStart"/>
      <w:r>
        <w:t>municipal.Artículo</w:t>
      </w:r>
      <w:proofErr w:type="spellEnd"/>
      <w:r>
        <w:t xml:space="preserve"> 3. Sujeto </w:t>
      </w:r>
      <w:proofErr w:type="spellStart"/>
      <w:r>
        <w:t>pasivoSon</w:t>
      </w:r>
      <w:proofErr w:type="spellEnd"/>
      <w:r>
        <w:t xml:space="preserve"> sujetos pasivos de la tasa, en concepto de contribuyentes, las personas físicas y jurídicas así como las entidades a que se refiere el artículo 35 y 36 de la Ley General Tributaria y en todo caso, aquellos solicitantes de la concesión, de la autorización o de la prestación del servicio y en su caso, los titulares de la autorización </w:t>
      </w:r>
      <w:proofErr w:type="spellStart"/>
      <w:r>
        <w:t>concedida.Artículo</w:t>
      </w:r>
      <w:proofErr w:type="spellEnd"/>
      <w:r>
        <w:t xml:space="preserve"> 4. Responsables4.1. Responderán solidariamente de las obligaciones tributarias del sujeto pasivo las personas físicas y ju-</w:t>
      </w:r>
      <w:proofErr w:type="spellStart"/>
      <w:r>
        <w:t>rídicas</w:t>
      </w:r>
      <w:proofErr w:type="spellEnd"/>
      <w:r>
        <w:t xml:space="preserve"> a que se refieren los artículos 39 a 42 de la Ley General Tributaria.4.2. Serán responsables subsidiarios los administradores de las sociedades y los síndicos, interventores o liquidadores de quiebras, concursos, sociedades y entidades en general, en los supuestos y con alcance que señala el artículo 43 de la Ley General </w:t>
      </w:r>
      <w:proofErr w:type="spellStart"/>
      <w:r>
        <w:t>Tributaria.Artículo</w:t>
      </w:r>
      <w:proofErr w:type="spellEnd"/>
      <w:r>
        <w:t xml:space="preserve"> 5. </w:t>
      </w:r>
      <w:proofErr w:type="spellStart"/>
      <w:r>
        <w:t>ExencionesEstarán</w:t>
      </w:r>
      <w:proofErr w:type="spellEnd"/>
      <w:r>
        <w:t xml:space="preserve"> exentos los servicios que se presten con ocasión de:* Los enterramientos de los asilados procedentes de la beneficencia, siempre que la conducción se verifique por cuenta de los establecimientos mencionados y sin ninguna pompa fúnebre que, en todo caso, sería costeada por los familiares o por el propio establecimiento.* Los enterramientos de cadáveres de pobres de solemnidad.* Las inhumaciones que ordene la autoridad Judicial o </w:t>
      </w:r>
      <w:proofErr w:type="spellStart"/>
      <w:r>
        <w:t>municipal.Artículo</w:t>
      </w:r>
      <w:proofErr w:type="spellEnd"/>
      <w:r>
        <w:t xml:space="preserve"> 6. Cuota </w:t>
      </w:r>
      <w:proofErr w:type="spellStart"/>
      <w:r>
        <w:t>tributariaLa</w:t>
      </w:r>
      <w:proofErr w:type="spellEnd"/>
      <w:r>
        <w:t xml:space="preserve"> cuota tributaria se determinará en función de la tarifa que viene determinada en el apartado </w:t>
      </w:r>
      <w:proofErr w:type="spellStart"/>
      <w:r>
        <w:t>siguiente.Artículo</w:t>
      </w:r>
      <w:proofErr w:type="spellEnd"/>
      <w:r>
        <w:t xml:space="preserve"> 7. Tarifa7.1. Fosas: 800,00 €.7.2. Nichos</w:t>
      </w:r>
      <w:proofErr w:type="gramStart"/>
      <w:r>
        <w:t>:–</w:t>
      </w:r>
      <w:proofErr w:type="gramEnd"/>
      <w:r>
        <w:t xml:space="preserve"> Planta 1.ª (subterránea) y planta 2.ª que deben concederse conjuntamente: 700,00 €/los </w:t>
      </w:r>
      <w:proofErr w:type="spellStart"/>
      <w:r>
        <w:t>dos.</w:t>
      </w:r>
      <w:r>
        <w:rPr>
          <w:sz w:val="20"/>
          <w:szCs w:val="20"/>
        </w:rPr>
        <w:t>Página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30</w:t>
      </w:r>
      <w:r>
        <w:t>– Planta 3.ª: 400,00 €.– Planta 4.ª: 300,00 €.7.3. Cementerio viejo. Rehabilitación integral de fosas y nichos: 70,00 €.7.4. Panteones: 37,50 €/m</w:t>
      </w:r>
      <w:r>
        <w:rPr>
          <w:sz w:val="12"/>
          <w:szCs w:val="12"/>
        </w:rPr>
        <w:t>2</w:t>
      </w:r>
      <w:r>
        <w:t xml:space="preserve">, con un fondo máximo de 4 </w:t>
      </w:r>
      <w:proofErr w:type="spellStart"/>
      <w:r>
        <w:t>metros.Artículo</w:t>
      </w:r>
      <w:proofErr w:type="spellEnd"/>
      <w:r>
        <w:t xml:space="preserve"> 8. </w:t>
      </w:r>
      <w:proofErr w:type="spellStart"/>
      <w:r>
        <w:t>DevengoDe</w:t>
      </w:r>
      <w:proofErr w:type="spellEnd"/>
      <w:r>
        <w:t xml:space="preserve"> conformidad con lo previsto en el artículo 26.1.a), de la Ley 39/1988, se devenga la tasa y nace la </w:t>
      </w:r>
      <w:proofErr w:type="spellStart"/>
      <w:r>
        <w:t>obli-gación</w:t>
      </w:r>
      <w:proofErr w:type="spellEnd"/>
      <w:r>
        <w:t xml:space="preserve"> de contribuir cuando se inicie la prestación de los servicios sujetos a gravamen, entendiéndose a estos efectos, que dicha iniciación se produce con la solicitud de </w:t>
      </w:r>
      <w:proofErr w:type="spellStart"/>
      <w:r>
        <w:t>aquellos.Artículo</w:t>
      </w:r>
      <w:proofErr w:type="spellEnd"/>
      <w:r>
        <w:t xml:space="preserve"> 9. Declaración, liquidación e ingreso9.1. Los sujetos pasivos solicitarán la prestación de los servicios de que se trate. La solicitud de permiso para construcción de mausoleos y panteones se tramitará conjuntamente con los servicios de urbanismo a </w:t>
      </w:r>
      <w:proofErr w:type="spellStart"/>
      <w:r>
        <w:t>efec</w:t>
      </w:r>
      <w:proofErr w:type="spellEnd"/>
      <w:r>
        <w:t xml:space="preserve">-tos de obtención de la pertinente licencia de obra.9.2. La tasa se exigirá en régimen de autoliquidación, por el procedimiento de ingreso en efectivo en cual-quiera de las entidades bancarias colaboradoras de este Ayuntamiento, por medio de solicitud normalizada al efecto, que será facilitada en las oficinas municipales.9.3. Las cantidades exigibles con arreglo a la tarifa se liquidarán con carácter independiente y autónomo por cada servicio </w:t>
      </w:r>
      <w:proofErr w:type="spellStart"/>
      <w:r>
        <w:t>prestado.Artículo</w:t>
      </w:r>
      <w:proofErr w:type="spellEnd"/>
      <w:r>
        <w:t xml:space="preserve"> 10. Infracciones y </w:t>
      </w:r>
      <w:proofErr w:type="spellStart"/>
      <w:r>
        <w:t>sancionesEn</w:t>
      </w:r>
      <w:proofErr w:type="spellEnd"/>
      <w:r>
        <w:t xml:space="preserve"> todo lo relativo a la potestad sancionadora relacionada con las infracciones tributarias, además de lo pre-visto en la presente </w:t>
      </w:r>
      <w:r>
        <w:lastRenderedPageBreak/>
        <w:t xml:space="preserve">Ordenanza, se estará a lo dispuesto en los artículos 178 y concordantes de la Ley General Tributaria y demás normativa </w:t>
      </w:r>
      <w:proofErr w:type="spellStart"/>
      <w:r>
        <w:t>aplicable.D</w:t>
      </w:r>
      <w:r>
        <w:rPr>
          <w:sz w:val="15"/>
          <w:szCs w:val="15"/>
        </w:rPr>
        <w:t>isposición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final</w:t>
      </w:r>
      <w:r>
        <w:t>La</w:t>
      </w:r>
      <w:proofErr w:type="spellEnd"/>
      <w:r>
        <w:t xml:space="preserve"> presente Ordenanza fiscal que deroga la de fecha 31 de marzo de 2009 (BOP n.º 91 de 07/08/2009) y entrará en vigor al día siguiente de su publicación íntegra en el B</w:t>
      </w:r>
      <w:r>
        <w:rPr>
          <w:sz w:val="15"/>
          <w:szCs w:val="15"/>
        </w:rPr>
        <w:t xml:space="preserve">oletín Oficial </w:t>
      </w:r>
      <w:r>
        <w:t xml:space="preserve">de la Provincia permaneciendo en vigor hasta su modificación o derogación </w:t>
      </w:r>
      <w:proofErr w:type="spellStart"/>
      <w:r>
        <w:t>expresa.Valdeganga</w:t>
      </w:r>
      <w:proofErr w:type="spellEnd"/>
      <w:r>
        <w:t xml:space="preserve"> a 13 de noviembre de 2014.–El Alcalde, Fermín Gómez Carrión.</w:t>
      </w:r>
    </w:p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6D"/>
    <w:rsid w:val="00231F2A"/>
    <w:rsid w:val="00B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6FEE4-F754-4C5C-9F88-A719CE2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2018-11-26T09:35:00Z</dcterms:created>
  <dcterms:modified xsi:type="dcterms:W3CDTF">2018-11-26T09:37:00Z</dcterms:modified>
</cp:coreProperties>
</file>