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AB" w:rsidRDefault="001710AB" w:rsidP="001710AB">
      <w:pPr>
        <w:pStyle w:val="Pa6"/>
        <w:ind w:firstLine="280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b/>
          <w:bCs/>
          <w:color w:val="000000"/>
          <w:sz w:val="21"/>
          <w:szCs w:val="21"/>
        </w:rPr>
        <w:t>Ordenanza n</w:t>
      </w:r>
      <w:proofErr w:type="gramStart"/>
      <w:r>
        <w:rPr>
          <w:rFonts w:cs="Times"/>
          <w:b/>
          <w:bCs/>
          <w:color w:val="000000"/>
          <w:sz w:val="21"/>
          <w:szCs w:val="21"/>
        </w:rPr>
        <w:t>.º</w:t>
      </w:r>
      <w:proofErr w:type="gramEnd"/>
      <w:r>
        <w:rPr>
          <w:rFonts w:cs="Times"/>
          <w:b/>
          <w:bCs/>
          <w:color w:val="000000"/>
          <w:sz w:val="21"/>
          <w:szCs w:val="21"/>
        </w:rPr>
        <w:t xml:space="preserve"> </w:t>
      </w:r>
      <w:bookmarkStart w:id="0" w:name="_GoBack"/>
      <w:r>
        <w:rPr>
          <w:rFonts w:cs="Times"/>
          <w:b/>
          <w:bCs/>
          <w:color w:val="000000"/>
          <w:sz w:val="21"/>
          <w:szCs w:val="21"/>
        </w:rPr>
        <w:t>3 reguladora del impuesto sobre construcciones, instalaciones y obras</w:t>
      </w:r>
      <w:bookmarkEnd w:id="0"/>
      <w:r>
        <w:rPr>
          <w:rFonts w:cs="Times"/>
          <w:b/>
          <w:bCs/>
          <w:color w:val="000000"/>
          <w:sz w:val="21"/>
          <w:szCs w:val="21"/>
        </w:rPr>
        <w:t>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i/>
          <w:iCs/>
          <w:color w:val="000000"/>
          <w:sz w:val="21"/>
          <w:szCs w:val="21"/>
        </w:rPr>
        <w:t>Fundamento legal</w:t>
      </w:r>
    </w:p>
    <w:p w:rsidR="001710AB" w:rsidRDefault="001710AB" w:rsidP="001710AB">
      <w:pPr>
        <w:pStyle w:val="Pa6"/>
        <w:ind w:firstLine="280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Artículo 1.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Este Ayuntamiento de conformidad con lo dispuesto en el artículo 15.2 de la Ley 39/1988, de 28 de diciem</w:t>
      </w:r>
      <w:r>
        <w:rPr>
          <w:rFonts w:cs="Times"/>
          <w:color w:val="000000"/>
          <w:sz w:val="21"/>
          <w:szCs w:val="21"/>
        </w:rPr>
        <w:softHyphen/>
        <w:t>bre, reguladora de las Haciendas Locales, hace uso de la facultad que le confiere la misma, en orden a la fijación de los elementos necesarios para la determinación de las cuotas tributarias del impuesto sobre construcciones, instalaciones y obras, previsto en el artículo 60.1.2 de dicha Ley, cuya exacción se efectuará con sujeción a lo dispuesto en esta Ordenanza.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i/>
          <w:iCs/>
          <w:color w:val="000000"/>
          <w:sz w:val="21"/>
          <w:szCs w:val="21"/>
        </w:rPr>
        <w:t>Naturaleza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Artículo 2.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El impuesto sobre construcciones, instalaciones y obras es un tributo indirecto cuya configuración del hecho imponible, la determinación de los sujetos pasivos y de la base de tributación, la aplicación de beneficios tributarios, la concreción del período impositivo y el nacimiento de la obligación de contribuir o devengo, así como el régimen de administración o gestión se regula conforme a los preceptos contenidos en la Subsección 5.ª, de la Sección 3.ª, del Capítulo segundo, del Título II de la citada Ley reguladora de las Haciendas Locales.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i/>
          <w:iCs/>
          <w:color w:val="000000"/>
          <w:sz w:val="21"/>
          <w:szCs w:val="21"/>
        </w:rPr>
        <w:t>Hecho imponible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Artículo 3.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Constituye el hecho imponible del impuesto, la realiza</w:t>
      </w:r>
      <w:r>
        <w:rPr>
          <w:rFonts w:cs="Times"/>
          <w:color w:val="000000"/>
          <w:sz w:val="21"/>
          <w:szCs w:val="21"/>
        </w:rPr>
        <w:softHyphen/>
        <w:t>ción dentro del término municipal de cualquier construc</w:t>
      </w:r>
      <w:r>
        <w:rPr>
          <w:rFonts w:cs="Times"/>
          <w:color w:val="000000"/>
          <w:sz w:val="21"/>
          <w:szCs w:val="21"/>
        </w:rPr>
        <w:softHyphen/>
        <w:t>ción, instalación u obra para la que se exija la obtención de la correspondiente licencia de obras o urbanística, se haya obtenido o no dicha licencia, siempre que su expe</w:t>
      </w:r>
      <w:r>
        <w:rPr>
          <w:rFonts w:cs="Times"/>
          <w:color w:val="000000"/>
          <w:sz w:val="21"/>
          <w:szCs w:val="21"/>
        </w:rPr>
        <w:softHyphen/>
        <w:t>dición corresponda a este municipio.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i/>
          <w:iCs/>
          <w:color w:val="000000"/>
          <w:sz w:val="21"/>
          <w:szCs w:val="21"/>
        </w:rPr>
        <w:t>Sujetos pasivos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Artículo 4.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4.1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Son sujetos pasivos de este impuesto, a título de contribuyente las personas físicas o jurídicas y las entidades a que se refiere el artículo 33 de la Ley 230/1963, de 28 de diciembre, General Tributaria, que sean dueños de la construcción, instalación u obra, sean o no propietarios del inmueble sobre el que se realice aquella.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4.2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A los efectos previstos en el párrafo anterior tendrá la consideración de dueño de la construcción, instalación u obra quién soporte los gastos o el coste que comporte su realización.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4.3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En el supuesto de que la construcción, instalación u obra no sea realizada por el sujeto pasivo contribuyen</w:t>
      </w:r>
      <w:r>
        <w:rPr>
          <w:rFonts w:cs="Times"/>
          <w:color w:val="000000"/>
          <w:sz w:val="21"/>
          <w:szCs w:val="21"/>
        </w:rPr>
        <w:softHyphen/>
        <w:t>te, tendrán la condición de sujetos pasivos sustitutos del mismo quienes soliciten las correspondientes licencias o realicen las construcciones, instalaciones u obras. El sustituto podrá exigir del contribuyente el importe de la cuota tributaria satisfecha.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i/>
          <w:iCs/>
          <w:color w:val="000000"/>
          <w:sz w:val="21"/>
          <w:szCs w:val="21"/>
        </w:rPr>
        <w:t>Base imponible, cuota tipo de gravamen y devengo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Artículo 5.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5.1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La base imponible de este impuesto está cons</w:t>
      </w:r>
      <w:r>
        <w:rPr>
          <w:rFonts w:cs="Times"/>
          <w:color w:val="000000"/>
          <w:sz w:val="21"/>
          <w:szCs w:val="21"/>
        </w:rPr>
        <w:softHyphen/>
        <w:t>tituida por el coste real y efectivo de la construcción, instalación u obra y se entiende por tal, a estos efectos, el coste de ejecución material de aquella.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5.2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No forman parte de la base imponible el impuesto sobre el valor añadido y demás impuestos análogos pro</w:t>
      </w:r>
      <w:r>
        <w:rPr>
          <w:rFonts w:cs="Times"/>
          <w:color w:val="000000"/>
          <w:sz w:val="21"/>
          <w:szCs w:val="21"/>
        </w:rPr>
        <w:softHyphen/>
        <w:t xml:space="preserve">pios de regímenes especiales, las tasas, precios públicos y demás prestaciones patrimoniales de carácter público relacionadas, en su caso, con la construcción, instalación u obra, ni </w:t>
      </w:r>
      <w:r>
        <w:rPr>
          <w:rFonts w:cs="Times"/>
          <w:color w:val="000000"/>
          <w:sz w:val="21"/>
          <w:szCs w:val="21"/>
        </w:rPr>
        <w:lastRenderedPageBreak/>
        <w:t>tampoco los honorarios de profesionales, el beneficio empresarial del contratista ni cualquier otro concepto que no integre, estrictamente, el coste de eje</w:t>
      </w:r>
      <w:r>
        <w:rPr>
          <w:rFonts w:cs="Times"/>
          <w:color w:val="000000"/>
          <w:sz w:val="21"/>
          <w:szCs w:val="21"/>
        </w:rPr>
        <w:softHyphen/>
        <w:t>cución material.</w:t>
      </w:r>
    </w:p>
    <w:p w:rsidR="001710AB" w:rsidRDefault="001710AB" w:rsidP="001710AB">
      <w:pPr>
        <w:pStyle w:val="Pa6"/>
        <w:jc w:val="both"/>
        <w:rPr>
          <w:rFonts w:cs="Times"/>
          <w:color w:val="000000"/>
          <w:sz w:val="21"/>
          <w:szCs w:val="21"/>
        </w:rPr>
      </w:pPr>
      <w:r>
        <w:rPr>
          <w:rFonts w:cs="Times"/>
          <w:color w:val="000000"/>
          <w:sz w:val="21"/>
          <w:szCs w:val="21"/>
        </w:rPr>
        <w:t>5.3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La cuota del impuesto será el resultado de aplicar a la base imponible el tipo de gravamen.</w:t>
      </w:r>
    </w:p>
    <w:p w:rsidR="001710AB" w:rsidRDefault="001710AB" w:rsidP="001710AB">
      <w:pPr>
        <w:pStyle w:val="Pa6"/>
        <w:jc w:val="both"/>
        <w:rPr>
          <w:rFonts w:cs="Times"/>
          <w:b/>
          <w:bCs/>
          <w:color w:val="000000"/>
          <w:sz w:val="20"/>
          <w:szCs w:val="20"/>
        </w:rPr>
      </w:pPr>
      <w:r>
        <w:rPr>
          <w:rFonts w:cs="Times"/>
          <w:color w:val="000000"/>
          <w:sz w:val="21"/>
          <w:szCs w:val="21"/>
        </w:rPr>
        <w:t>5.4</w:t>
      </w:r>
      <w:proofErr w:type="gramStart"/>
      <w:r>
        <w:rPr>
          <w:rFonts w:cs="Times"/>
          <w:color w:val="000000"/>
          <w:sz w:val="21"/>
          <w:szCs w:val="21"/>
        </w:rPr>
        <w:t>.–</w:t>
      </w:r>
      <w:proofErr w:type="gramEnd"/>
      <w:r>
        <w:rPr>
          <w:rFonts w:cs="Times"/>
          <w:color w:val="000000"/>
          <w:sz w:val="21"/>
          <w:szCs w:val="21"/>
        </w:rPr>
        <w:t xml:space="preserve"> El tipo de gravamen del impuesto será el 2 y medio por 100, al igual que el canon que por aprovechamiento urba</w:t>
      </w:r>
      <w:r>
        <w:rPr>
          <w:rFonts w:cs="Times"/>
          <w:color w:val="000000"/>
          <w:sz w:val="21"/>
          <w:szCs w:val="21"/>
        </w:rPr>
        <w:softHyphen/>
        <w:t xml:space="preserve">nístico establece la Ley del Suelo de Castilla-La </w:t>
      </w:r>
      <w:proofErr w:type="spellStart"/>
      <w:r>
        <w:rPr>
          <w:rFonts w:cs="Times"/>
          <w:color w:val="000000"/>
          <w:sz w:val="21"/>
          <w:szCs w:val="21"/>
        </w:rPr>
        <w:t>Mancha.B</w:t>
      </w:r>
      <w:r>
        <w:rPr>
          <w:rFonts w:cs="Times"/>
          <w:b/>
          <w:bCs/>
          <w:color w:val="000000"/>
          <w:sz w:val="20"/>
          <w:szCs w:val="20"/>
        </w:rPr>
        <w:t>.</w:t>
      </w:r>
      <w:r>
        <w:rPr>
          <w:rFonts w:cs="Times"/>
          <w:color w:val="000000"/>
          <w:sz w:val="20"/>
          <w:szCs w:val="20"/>
        </w:rPr>
        <w:t>O</w:t>
      </w:r>
      <w:r>
        <w:rPr>
          <w:rFonts w:cs="Times"/>
          <w:b/>
          <w:bCs/>
          <w:color w:val="000000"/>
          <w:sz w:val="20"/>
          <w:szCs w:val="20"/>
        </w:rPr>
        <w:t>.P</w:t>
      </w:r>
      <w:proofErr w:type="spellEnd"/>
      <w:r>
        <w:rPr>
          <w:rFonts w:cs="Times"/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cs="Times"/>
          <w:b/>
          <w:bCs/>
          <w:color w:val="000000"/>
          <w:sz w:val="20"/>
          <w:szCs w:val="20"/>
        </w:rPr>
        <w:t>número</w:t>
      </w:r>
      <w:proofErr w:type="gramEnd"/>
      <w:r>
        <w:rPr>
          <w:rFonts w:cs="Times"/>
          <w:b/>
          <w:bCs/>
          <w:color w:val="000000"/>
          <w:sz w:val="20"/>
          <w:szCs w:val="20"/>
        </w:rPr>
        <w:t xml:space="preserve"> 147 Viernes 19 de Diciembre, 2008 35 </w:t>
      </w:r>
      <w:r>
        <w:rPr>
          <w:rFonts w:cs="Times"/>
          <w:b/>
          <w:bCs/>
          <w:color w:val="000000"/>
          <w:sz w:val="20"/>
          <w:szCs w:val="20"/>
        </w:rPr>
        <w:t xml:space="preserve"> </w:t>
      </w:r>
    </w:p>
    <w:p w:rsidR="001710AB" w:rsidRDefault="001710AB" w:rsidP="001710AB">
      <w:pPr>
        <w:pStyle w:val="Pa6"/>
        <w:jc w:val="both"/>
        <w:rPr>
          <w:rFonts w:cs="Times"/>
          <w:b/>
          <w:bCs/>
          <w:color w:val="000000"/>
          <w:sz w:val="20"/>
          <w:szCs w:val="20"/>
        </w:rPr>
      </w:pPr>
    </w:p>
    <w:p w:rsidR="001710AB" w:rsidRDefault="001710AB" w:rsidP="001710AB">
      <w:pPr>
        <w:pStyle w:val="Pa6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sz w:val="21"/>
          <w:szCs w:val="21"/>
        </w:rPr>
        <w:t>.5</w:t>
      </w:r>
      <w:proofErr w:type="gramStart"/>
      <w:r>
        <w:rPr>
          <w:sz w:val="21"/>
          <w:szCs w:val="21"/>
        </w:rPr>
        <w:t>.–</w:t>
      </w:r>
      <w:proofErr w:type="gramEnd"/>
      <w:r>
        <w:rPr>
          <w:sz w:val="21"/>
          <w:szCs w:val="21"/>
        </w:rPr>
        <w:t xml:space="preserve"> El impuesto se devenga en el momento de ini</w:t>
      </w:r>
      <w:r>
        <w:rPr>
          <w:sz w:val="21"/>
          <w:szCs w:val="21"/>
        </w:rPr>
        <w:softHyphen/>
        <w:t>ciarse la construcción, instalación u obra, aun cuando no se haya obtenido la correspondiente licencia.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i/>
          <w:iCs/>
          <w:sz w:val="21"/>
          <w:szCs w:val="21"/>
        </w:rPr>
        <w:t>Exenciones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Artículo 6.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Está exenta del pago del impuesto la realización de cualquier construcción, instalación u obra de la que sea dueño el Estado, las Comunidades Autónomas o las En</w:t>
      </w:r>
      <w:r>
        <w:rPr>
          <w:rFonts w:cs="Times"/>
          <w:sz w:val="21"/>
          <w:szCs w:val="21"/>
        </w:rPr>
        <w:softHyphen/>
        <w:t>tidades Locales, que estando sujetas al mismo, vaya a ser directamente destinada a carreteras, ferrocarriles, aero</w:t>
      </w:r>
      <w:r>
        <w:rPr>
          <w:rFonts w:cs="Times"/>
          <w:sz w:val="21"/>
          <w:szCs w:val="21"/>
        </w:rPr>
        <w:softHyphen/>
        <w:t>puertos, obras hidráulicas, saneamiento de poblaciones y de sus aguas residuales, aunque su gestión se lleve a cabo por Organismos Autónomos, tanto si se trata de obras de inversión nueva como de conservación.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i/>
          <w:iCs/>
          <w:sz w:val="21"/>
          <w:szCs w:val="21"/>
        </w:rPr>
        <w:t>Bonificaciones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Artículo 7.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7.1.– Se establece una bonificación de hasta el 75 por 100 a favor de las construcciones, instalaciones u obras del Polígono Industrial “Corral de las Losillas” de Val</w:t>
      </w:r>
      <w:r>
        <w:rPr>
          <w:rFonts w:cs="Times"/>
          <w:sz w:val="21"/>
          <w:szCs w:val="21"/>
        </w:rPr>
        <w:softHyphen/>
        <w:t>deganga o para todas aquellas que sean declaradas de especial interés o utilidad pública municipal por concurrir circunstancias sociales, culturales, históricas, artísticas o de fomento de empleo que justifiquen tal declaración. Co</w:t>
      </w:r>
      <w:r>
        <w:rPr>
          <w:rFonts w:cs="Times"/>
          <w:sz w:val="21"/>
          <w:szCs w:val="21"/>
        </w:rPr>
        <w:softHyphen/>
        <w:t>rresponderá dicha declaración al Pleno de la Corporación y se acordará, previa solicitud del sujeto pasivo, por voto favorable de la mayoría simple de sus miembros.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7.2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 Se establece una bonificación de hasta el 50 por 100 a favor de las construcciones, instalaciones u obras referentes a las viviendas de protección oficial. La bo</w:t>
      </w:r>
      <w:r>
        <w:rPr>
          <w:rFonts w:cs="Times"/>
          <w:sz w:val="21"/>
          <w:szCs w:val="21"/>
        </w:rPr>
        <w:softHyphen/>
        <w:t>nificación prevista en este párrafo se aplicará a la cuota resultante de aplicar, en su caso, las bonificaciones a que se refieren los párrafos anteriores.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7.3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 Se establece una bonificación de hasta el 50 por 100 a favor de las construcciones, instalaciones u obras que favorezcan las condiciones de acceso y habitabilidad de los discapacitados. La bonificación prevista en este párrafo se aplicará a la cuota resultante de aplicar, en su caso, las bonificaciones a que se refieren los párrafos anteriores.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7.4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 Las bonificaciones establecidas en este artículo se aplicarán siempre que exista previa solicitud al efecto acreditando los requisitos requeridos, en todo caso, para aplicar dichas bonificaciones. Las bonificaciones anterio</w:t>
      </w:r>
      <w:r>
        <w:rPr>
          <w:rFonts w:cs="Times"/>
          <w:sz w:val="21"/>
          <w:szCs w:val="21"/>
        </w:rPr>
        <w:softHyphen/>
        <w:t>res, salvo las establecida en el apartado 7.1, corresponderán su reconocimiento a la Comisión de Gobierno y podrán ser aplicadas simultáneamente.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i/>
          <w:iCs/>
          <w:sz w:val="21"/>
          <w:szCs w:val="21"/>
        </w:rPr>
        <w:t>Gestión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Artículo 8.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8.1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 Cuando se conceda la licencia preceptiva o cuando, no habiéndose solicitado, concedido o denegado aún dicha licencia preceptiva, se inicie la construcción, instalación u obra, se practicará una liquidación provisional a cuenta, determinándose la base imponible: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lastRenderedPageBreak/>
        <w:t>a) En función del presupuesto presentado por los inte</w:t>
      </w:r>
      <w:r>
        <w:rPr>
          <w:rFonts w:cs="Times"/>
          <w:sz w:val="21"/>
          <w:szCs w:val="21"/>
        </w:rPr>
        <w:softHyphen/>
        <w:t>resados, siempre que el mismo hubiera sido visado por el Colegio Oficial correspondiente cuando ello constituya un requisito preceptivo.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b) En función de la valoración practicada por los servicios técnicos urbanísticos del Ayuntamiento, según informe técnico emitido al efecto.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8.2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 Una vez finalizada la construcción, instalación u obra y teniendo en cuenta el coste real y efectivo de la misma, el Ayuntamiento, mediante la oportuna compro</w:t>
      </w:r>
      <w:r>
        <w:rPr>
          <w:rFonts w:cs="Times"/>
          <w:sz w:val="21"/>
          <w:szCs w:val="21"/>
        </w:rPr>
        <w:softHyphen/>
        <w:t>bación administrativa, modificará, en su caso, la base imponible a que se refiere el apartado anterior practicando la correspondiente liquidación definitiva y exigiendo del sujeto pasivo o reintegrándole, en su caso, la cantidad que corresponda.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i/>
          <w:iCs/>
          <w:sz w:val="21"/>
          <w:szCs w:val="21"/>
        </w:rPr>
        <w:t>Disposición derogatoria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La presente Ordenanza deroga la de fecha 1 de enero de mil novecientos noventa.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i/>
          <w:iCs/>
          <w:sz w:val="21"/>
          <w:szCs w:val="21"/>
        </w:rPr>
        <w:t>Vigencia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La presente Ordenanza surtirá efectos, una vez publi</w:t>
      </w:r>
      <w:r>
        <w:rPr>
          <w:rFonts w:cs="Times"/>
          <w:sz w:val="21"/>
          <w:szCs w:val="21"/>
        </w:rPr>
        <w:softHyphen/>
        <w:t xml:space="preserve">cada íntegramente en el </w:t>
      </w:r>
      <w:r>
        <w:rPr>
          <w:rFonts w:cs="Times"/>
          <w:i/>
          <w:iCs/>
          <w:sz w:val="21"/>
          <w:szCs w:val="21"/>
        </w:rPr>
        <w:t xml:space="preserve">Boletín Oficial </w:t>
      </w:r>
      <w:r>
        <w:rPr>
          <w:rFonts w:cs="Times"/>
          <w:sz w:val="21"/>
          <w:szCs w:val="21"/>
        </w:rPr>
        <w:t>de la Provincia y seguirá en vigor en ejercicios sucesivos, en tanto no se acuerde su modificación o derogación expresa.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Valdeganga, 25 de septiembre de 2008. El Alcalde, Fermín Gómez Carrión. •30.535•</w:t>
      </w:r>
    </w:p>
    <w:p w:rsidR="001710AB" w:rsidRDefault="001710AB" w:rsidP="001710AB">
      <w:pPr>
        <w:pStyle w:val="Default"/>
        <w:jc w:val="both"/>
        <w:rPr>
          <w:rFonts w:cstheme="minorBidi"/>
          <w:color w:val="auto"/>
        </w:rPr>
        <w:sectPr w:rsidR="001710AB">
          <w:type w:val="continuous"/>
          <w:pgSz w:w="11905" w:h="17337"/>
          <w:pgMar w:top="1213" w:right="319" w:bottom="696" w:left="610" w:header="720" w:footer="720" w:gutter="0"/>
          <w:cols w:num="2" w:space="720" w:equalWidth="0">
            <w:col w:w="5032" w:space="331"/>
            <w:col w:w="5038"/>
          </w:cols>
          <w:noEndnote/>
        </w:sectPr>
      </w:pPr>
    </w:p>
    <w:p w:rsidR="001710AB" w:rsidRDefault="001710AB" w:rsidP="001710AB">
      <w:pPr>
        <w:pStyle w:val="Default"/>
        <w:spacing w:line="241" w:lineRule="atLeast"/>
        <w:jc w:val="both"/>
        <w:rPr>
          <w:color w:val="auto"/>
          <w:sz w:val="23"/>
          <w:szCs w:val="23"/>
        </w:rPr>
      </w:pPr>
      <w:proofErr w:type="spellStart"/>
      <w:proofErr w:type="gramStart"/>
      <w:r>
        <w:rPr>
          <w:b/>
          <w:bCs/>
          <w:color w:val="auto"/>
          <w:sz w:val="23"/>
          <w:szCs w:val="23"/>
        </w:rPr>
        <w:lastRenderedPageBreak/>
        <w:t>m</w:t>
      </w:r>
      <w:r>
        <w:rPr>
          <w:color w:val="auto"/>
          <w:sz w:val="23"/>
          <w:szCs w:val="23"/>
        </w:rPr>
        <w:t>an</w:t>
      </w:r>
      <w:r>
        <w:rPr>
          <w:b/>
          <w:bCs/>
          <w:color w:val="auto"/>
          <w:sz w:val="23"/>
          <w:szCs w:val="23"/>
        </w:rPr>
        <w:t>comu</w:t>
      </w:r>
      <w:r>
        <w:rPr>
          <w:color w:val="auto"/>
          <w:sz w:val="23"/>
          <w:szCs w:val="23"/>
        </w:rPr>
        <w:t>n</w:t>
      </w:r>
      <w:r>
        <w:rPr>
          <w:b/>
          <w:bCs/>
          <w:color w:val="auto"/>
          <w:sz w:val="23"/>
          <w:szCs w:val="23"/>
        </w:rPr>
        <w:t>i</w:t>
      </w:r>
      <w:r>
        <w:rPr>
          <w:color w:val="auto"/>
          <w:sz w:val="23"/>
          <w:szCs w:val="23"/>
        </w:rPr>
        <w:t>dad</w:t>
      </w:r>
      <w:r>
        <w:rPr>
          <w:b/>
          <w:bCs/>
          <w:color w:val="auto"/>
          <w:sz w:val="23"/>
          <w:szCs w:val="23"/>
        </w:rPr>
        <w:t>"</w:t>
      </w:r>
      <w:proofErr w:type="gramEnd"/>
      <w:r>
        <w:rPr>
          <w:b/>
          <w:bCs/>
          <w:color w:val="auto"/>
          <w:sz w:val="23"/>
          <w:szCs w:val="23"/>
        </w:rPr>
        <w:t>L</w:t>
      </w:r>
      <w:r>
        <w:rPr>
          <w:color w:val="auto"/>
          <w:sz w:val="23"/>
          <w:szCs w:val="23"/>
        </w:rPr>
        <w:t>aMan</w:t>
      </w:r>
      <w:r>
        <w:rPr>
          <w:b/>
          <w:bCs/>
          <w:color w:val="auto"/>
          <w:sz w:val="23"/>
          <w:szCs w:val="23"/>
        </w:rPr>
        <w:t>chu</w:t>
      </w:r>
      <w:r>
        <w:rPr>
          <w:color w:val="auto"/>
          <w:sz w:val="23"/>
          <w:szCs w:val="23"/>
        </w:rPr>
        <w:t>eladel</w:t>
      </w:r>
      <w:r>
        <w:rPr>
          <w:b/>
          <w:bCs/>
          <w:color w:val="auto"/>
          <w:sz w:val="23"/>
          <w:szCs w:val="23"/>
        </w:rPr>
        <w:t>Júc</w:t>
      </w:r>
      <w:r>
        <w:rPr>
          <w:color w:val="auto"/>
          <w:sz w:val="23"/>
          <w:szCs w:val="23"/>
        </w:rPr>
        <w:t>a</w:t>
      </w:r>
      <w:r>
        <w:rPr>
          <w:b/>
          <w:bCs/>
          <w:color w:val="auto"/>
          <w:sz w:val="23"/>
          <w:szCs w:val="23"/>
        </w:rPr>
        <w:t>r</w:t>
      </w:r>
      <w:proofErr w:type="spellEnd"/>
      <w:r>
        <w:rPr>
          <w:b/>
          <w:bCs/>
          <w:color w:val="auto"/>
          <w:sz w:val="23"/>
          <w:szCs w:val="23"/>
        </w:rPr>
        <w:t>" (</w:t>
      </w:r>
      <w:proofErr w:type="spellStart"/>
      <w:r>
        <w:rPr>
          <w:color w:val="auto"/>
          <w:sz w:val="23"/>
          <w:szCs w:val="23"/>
        </w:rPr>
        <w:t>valde</w:t>
      </w:r>
      <w:r>
        <w:rPr>
          <w:b/>
          <w:bCs/>
          <w:color w:val="auto"/>
          <w:sz w:val="23"/>
          <w:szCs w:val="23"/>
        </w:rPr>
        <w:t>g</w:t>
      </w:r>
      <w:r>
        <w:rPr>
          <w:color w:val="auto"/>
          <w:sz w:val="23"/>
          <w:szCs w:val="23"/>
        </w:rPr>
        <w:t>an</w:t>
      </w:r>
      <w:r>
        <w:rPr>
          <w:b/>
          <w:bCs/>
          <w:color w:val="auto"/>
          <w:sz w:val="23"/>
          <w:szCs w:val="23"/>
        </w:rPr>
        <w:t>g</w:t>
      </w:r>
      <w:r>
        <w:rPr>
          <w:color w:val="auto"/>
          <w:sz w:val="23"/>
          <w:szCs w:val="23"/>
        </w:rPr>
        <w:t>a</w:t>
      </w:r>
      <w:proofErr w:type="spellEnd"/>
      <w:r>
        <w:rPr>
          <w:b/>
          <w:bCs/>
          <w:color w:val="auto"/>
          <w:sz w:val="23"/>
          <w:szCs w:val="23"/>
        </w:rPr>
        <w:t>)</w:t>
      </w:r>
    </w:p>
    <w:p w:rsidR="001710AB" w:rsidRDefault="001710AB" w:rsidP="001710AB">
      <w:pPr>
        <w:pStyle w:val="Pa5"/>
        <w:jc w:val="both"/>
        <w:rPr>
          <w:rFonts w:cs="Times"/>
          <w:sz w:val="20"/>
          <w:szCs w:val="20"/>
        </w:rPr>
      </w:pPr>
      <w:proofErr w:type="gramStart"/>
      <w:r>
        <w:rPr>
          <w:rFonts w:cs="Times"/>
          <w:i/>
          <w:iCs/>
          <w:sz w:val="20"/>
          <w:szCs w:val="20"/>
        </w:rPr>
        <w:t>anuncios</w:t>
      </w:r>
      <w:proofErr w:type="gramEnd"/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 xml:space="preserve">Formada por la Intervención de la Mancomunidad “La </w:t>
      </w:r>
      <w:proofErr w:type="spellStart"/>
      <w:r>
        <w:rPr>
          <w:rFonts w:cs="Times"/>
          <w:sz w:val="21"/>
          <w:szCs w:val="21"/>
        </w:rPr>
        <w:t>Manchuela</w:t>
      </w:r>
      <w:proofErr w:type="spellEnd"/>
      <w:r>
        <w:rPr>
          <w:rFonts w:cs="Times"/>
          <w:sz w:val="21"/>
          <w:szCs w:val="21"/>
        </w:rPr>
        <w:t xml:space="preserve"> del Júcar”, la Cuenta General de la Entidad del año 2007, fue sometida a la consideración de la Comisión Especial de Cuentas del Ayuntamiento de 24 de julio de 2008, siendo informada favorablemente y del Pleno del Ayuntamiento de 24 de julio de 2008, siendo aprobada provisionalmente.</w:t>
      </w:r>
    </w:p>
    <w:p w:rsidR="001710AB" w:rsidRDefault="001710AB" w:rsidP="001710AB">
      <w:pPr>
        <w:pStyle w:val="Pa6"/>
        <w:ind w:firstLine="280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Se expone al público por espacio de quince días y si hubiere reclamaciones, por ocho días más, durante los cuales los interesados podrán presentar reclamaciones, reparos u observaciones de acuerdo con lo expuesto en el artículo 212 del Real decreto Legislativo 2/2004, de 5 de marzo, por el que se aprueba el texto refundido de la Ley reguladora de las Haciendas Locales.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El expediente de razón se encuentra a disposición de los interesados en la Intervención de la Mancomunidad, en horario de atención al público de 9,00 a 14,00 horas y de lunes a viernes.</w:t>
      </w:r>
    </w:p>
    <w:p w:rsidR="001710AB" w:rsidRDefault="001710AB" w:rsidP="001710AB">
      <w:pPr>
        <w:pStyle w:val="Pa6"/>
        <w:jc w:val="both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Valdeganga, 5 de diciembre de 2008</w:t>
      </w:r>
      <w:proofErr w:type="gramStart"/>
      <w:r>
        <w:rPr>
          <w:rFonts w:cs="Times"/>
          <w:sz w:val="21"/>
          <w:szCs w:val="21"/>
        </w:rPr>
        <w:t>.–</w:t>
      </w:r>
      <w:proofErr w:type="gramEnd"/>
      <w:r>
        <w:rPr>
          <w:rFonts w:cs="Times"/>
          <w:sz w:val="21"/>
          <w:szCs w:val="21"/>
        </w:rPr>
        <w:t xml:space="preserve">El Presidente, Fermín Gómez </w:t>
      </w:r>
      <w:proofErr w:type="spellStart"/>
      <w:r>
        <w:rPr>
          <w:rFonts w:cs="Times"/>
          <w:sz w:val="21"/>
          <w:szCs w:val="21"/>
        </w:rPr>
        <w:t>Sarrión</w:t>
      </w:r>
      <w:proofErr w:type="spellEnd"/>
      <w:r>
        <w:rPr>
          <w:rFonts w:cs="Times"/>
          <w:sz w:val="21"/>
          <w:szCs w:val="21"/>
        </w:rPr>
        <w:t>. •30.306•</w:t>
      </w:r>
    </w:p>
    <w:p w:rsidR="00231F2A" w:rsidRDefault="00231F2A" w:rsidP="001710AB">
      <w:pPr>
        <w:jc w:val="both"/>
      </w:pPr>
    </w:p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B"/>
    <w:rsid w:val="001710AB"/>
    <w:rsid w:val="002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6DBA-F09B-492A-B121-58C7E3E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10AB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1710AB"/>
    <w:pPr>
      <w:spacing w:line="21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1710AB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2018-11-26T09:17:00Z</dcterms:created>
  <dcterms:modified xsi:type="dcterms:W3CDTF">2018-11-26T09:21:00Z</dcterms:modified>
</cp:coreProperties>
</file>